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964109" w:rsidRPr="00E6446C" w:rsidRDefault="000026D5" w:rsidP="007442AE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682371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Pr="00682371" w:rsidRDefault="000026D5" w:rsidP="00682371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677641">
              <w:rPr>
                <w:b/>
                <w:sz w:val="24"/>
                <w:szCs w:val="24"/>
              </w:rPr>
              <w:t xml:space="preserve">Prawo </w:t>
            </w:r>
            <w:r w:rsidR="001525F6">
              <w:rPr>
                <w:b/>
                <w:sz w:val="24"/>
                <w:szCs w:val="24"/>
              </w:rPr>
              <w:t>cywilne w logistyce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5763D3" w:rsidP="00540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0026D5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442AE">
              <w:rPr>
                <w:b/>
                <w:sz w:val="24"/>
                <w:szCs w:val="24"/>
              </w:rPr>
              <w:t>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964109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67764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/</w:t>
            </w:r>
            <w:r w:rsidR="0067764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1525F6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677641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96410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Marcin </w:t>
            </w:r>
            <w:proofErr w:type="spellStart"/>
            <w:r>
              <w:rPr>
                <w:sz w:val="24"/>
                <w:szCs w:val="24"/>
              </w:rPr>
              <w:t>Glicz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96410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Marcin </w:t>
            </w:r>
            <w:proofErr w:type="spellStart"/>
            <w:r>
              <w:rPr>
                <w:sz w:val="24"/>
                <w:szCs w:val="24"/>
              </w:rPr>
              <w:t>Glicz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0026D5" w:rsidRPr="00E6446C" w:rsidRDefault="00C22B28" w:rsidP="00F14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problematyki prawnej wykonywania działalności gospodarczej w zakresie logistyki. Zapoznanie studentów z cywilnoprawnymi regulacjami prawa i obowiązków uczestników procesów logistycznych</w:t>
            </w:r>
          </w:p>
        </w:tc>
      </w:tr>
      <w:tr w:rsidR="000026D5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C22B28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prawa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FB4F21" w:rsidRPr="00E6446C" w:rsidTr="00F1694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4F21" w:rsidRDefault="00FB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4F21" w:rsidRDefault="00FB4F21" w:rsidP="00FB4F21">
            <w:pPr>
              <w:jc w:val="both"/>
              <w:rPr>
                <w:sz w:val="24"/>
                <w:szCs w:val="24"/>
              </w:rPr>
            </w:pPr>
            <w:r>
              <w:rPr>
                <w:rFonts w:eastAsia="FreeSerif"/>
                <w:sz w:val="24"/>
                <w:szCs w:val="24"/>
              </w:rPr>
              <w:t>Wymienia podstawowe instytucje prawa cywilnego związane z prowadzeniem działalności w zakresie usług logistycznych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4F21" w:rsidRPr="00883D73" w:rsidRDefault="00FB4F21" w:rsidP="00756A62">
            <w:r w:rsidRPr="00883D73">
              <w:t>K1P_W02</w:t>
            </w:r>
          </w:p>
        </w:tc>
      </w:tr>
      <w:tr w:rsidR="00FB4F21" w:rsidRPr="00E6446C" w:rsidTr="00F1694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4F21" w:rsidRDefault="00FB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4F21" w:rsidRDefault="00FB4F21">
            <w:pPr>
              <w:jc w:val="both"/>
              <w:rPr>
                <w:sz w:val="24"/>
                <w:szCs w:val="24"/>
              </w:rPr>
            </w:pPr>
            <w:r w:rsidRPr="00FB4F21">
              <w:rPr>
                <w:sz w:val="24"/>
                <w:szCs w:val="24"/>
              </w:rPr>
              <w:t>Stosuje i interpretuje przepisy prawa oraz umowy obrotu gospodarczego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4F21" w:rsidRPr="00883D73" w:rsidRDefault="00FB4F21" w:rsidP="00756A62">
            <w:r w:rsidRPr="00883D73">
              <w:t>K1P_U07</w:t>
            </w:r>
          </w:p>
        </w:tc>
      </w:tr>
      <w:tr w:rsidR="00FB4F21" w:rsidRPr="00E6446C" w:rsidTr="00F1694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4F21" w:rsidRDefault="00FB4F21" w:rsidP="00FB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4F21" w:rsidRDefault="005E494C" w:rsidP="005E494C">
            <w:pPr>
              <w:jc w:val="both"/>
              <w:rPr>
                <w:sz w:val="24"/>
                <w:szCs w:val="24"/>
              </w:rPr>
            </w:pPr>
            <w:r w:rsidRPr="00995531">
              <w:rPr>
                <w:sz w:val="23"/>
                <w:szCs w:val="23"/>
              </w:rPr>
              <w:t xml:space="preserve">Postępuje etycznie w ramach wyznaczonych ról organizacyjnych i społecznych </w:t>
            </w:r>
            <w:r>
              <w:rPr>
                <w:sz w:val="24"/>
                <w:szCs w:val="24"/>
              </w:rPr>
              <w:t>akceptując</w:t>
            </w:r>
            <w:r w:rsidR="005763D3" w:rsidRPr="005763D3">
              <w:rPr>
                <w:sz w:val="24"/>
                <w:szCs w:val="24"/>
              </w:rPr>
              <w:t xml:space="preserve"> fakt konieczności przestrzegania prawa w swojej działalności zawodowej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4F21" w:rsidRPr="00883D73" w:rsidRDefault="0008494A" w:rsidP="00756A62">
            <w:r>
              <w:t>K1P_K</w:t>
            </w:r>
            <w:bookmarkStart w:id="0" w:name="_GoBack"/>
            <w:bookmarkEnd w:id="0"/>
            <w:r w:rsidR="005E494C" w:rsidRPr="00883D73">
              <w:t>07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E6446C" w:rsidTr="005406F0">
        <w:tc>
          <w:tcPr>
            <w:tcW w:w="10008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0026D5" w:rsidRPr="00D56B9F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Wykład</w:t>
            </w:r>
            <w:r w:rsidR="00D56B9F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0026D5" w:rsidRPr="00677641" w:rsidTr="005406F0">
        <w:tc>
          <w:tcPr>
            <w:tcW w:w="10008" w:type="dxa"/>
          </w:tcPr>
          <w:p w:rsidR="000026D5" w:rsidRPr="00677641" w:rsidRDefault="001525F6" w:rsidP="00152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Pojęcie prawa cywilnego</w:t>
            </w:r>
            <w:r w:rsidR="006776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stosunek cywilnoprawny, źródła prawa cywilnego, zasada jedności prawa cywilnego, przewóz, przewóz multimodalny, umowa o przewóz, </w:t>
            </w:r>
            <w:proofErr w:type="spellStart"/>
            <w:r>
              <w:rPr>
                <w:sz w:val="24"/>
                <w:szCs w:val="24"/>
              </w:rPr>
              <w:t>incoterms</w:t>
            </w:r>
            <w:proofErr w:type="spellEnd"/>
            <w:r>
              <w:rPr>
                <w:sz w:val="24"/>
                <w:szCs w:val="24"/>
              </w:rPr>
              <w:t xml:space="preserve">, zawarcie umowy, obowiązki wysyłającego, prawa wysyłającego obowiązki przewoźnika, </w:t>
            </w:r>
            <w:r w:rsidRPr="001525F6">
              <w:rPr>
                <w:sz w:val="24"/>
                <w:szCs w:val="24"/>
              </w:rPr>
              <w:t xml:space="preserve">odpowiedzialność </w:t>
            </w:r>
            <w:r>
              <w:rPr>
                <w:sz w:val="24"/>
                <w:szCs w:val="24"/>
              </w:rPr>
              <w:t>przewoźnika</w:t>
            </w:r>
            <w:r w:rsidRPr="001525F6">
              <w:rPr>
                <w:sz w:val="24"/>
                <w:szCs w:val="24"/>
              </w:rPr>
              <w:t xml:space="preserve"> za niewykonanie lub nienależyte wykonanie umowy spedycji, </w:t>
            </w:r>
            <w:r>
              <w:rPr>
                <w:sz w:val="24"/>
                <w:szCs w:val="24"/>
              </w:rPr>
              <w:t xml:space="preserve">umowa spedycji, obowiązki wysyłającego, prawa wysyłającego, obowiązki spedytora, czynności spedycyjne, odpowiedzialność spedytora za niewykonanie lub nienależyte wykonanie umowy spedycji, zabezpieczenie roszczeń, przedawnienie roszczeń, umowa składu jako element działalności logistycznej, </w:t>
            </w:r>
            <w:r w:rsidR="001969AB">
              <w:rPr>
                <w:sz w:val="24"/>
                <w:szCs w:val="24"/>
              </w:rPr>
              <w:t>zawarcie umowy składu, prawa i obowiązki stron umowy składu, międzynarodowe regulacje prawne w zakresie transportu i logistyki, konwencja CMR, transport lotniczy, transport kolejowy, konwencja CIM, transport wodny śródlądowy, konwencja Budapesztańska,</w:t>
            </w:r>
          </w:p>
        </w:tc>
      </w:tr>
      <w:tr w:rsidR="000026D5" w:rsidRPr="001525F6" w:rsidTr="005406F0">
        <w:tc>
          <w:tcPr>
            <w:tcW w:w="10008" w:type="dxa"/>
            <w:shd w:val="pct15" w:color="auto" w:fill="FFFFFF"/>
          </w:tcPr>
          <w:p w:rsidR="001525F6" w:rsidRPr="00C22B28" w:rsidRDefault="001525F6" w:rsidP="005406F0">
            <w:pPr>
              <w:rPr>
                <w:b/>
                <w:sz w:val="24"/>
                <w:szCs w:val="24"/>
              </w:rPr>
            </w:pPr>
          </w:p>
        </w:tc>
      </w:tr>
      <w:tr w:rsidR="000026D5" w:rsidRPr="001525F6" w:rsidTr="005406F0">
        <w:tc>
          <w:tcPr>
            <w:tcW w:w="10008" w:type="dxa"/>
          </w:tcPr>
          <w:p w:rsidR="000026D5" w:rsidRPr="00C22B28" w:rsidRDefault="000026D5" w:rsidP="005406F0">
            <w:pPr>
              <w:ind w:left="360"/>
              <w:rPr>
                <w:sz w:val="24"/>
                <w:szCs w:val="24"/>
              </w:rPr>
            </w:pPr>
            <w:r w:rsidRPr="00C22B28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E6446C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0026D5" w:rsidRPr="00682371" w:rsidRDefault="005763D3" w:rsidP="00682371">
            <w:pPr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r w:rsidRPr="005763D3">
              <w:rPr>
                <w:color w:val="333333"/>
                <w:sz w:val="24"/>
                <w:szCs w:val="24"/>
              </w:rPr>
              <w:t xml:space="preserve">Górski Władysław, Mendyk Edward: </w:t>
            </w:r>
            <w:r w:rsidRPr="005763D3">
              <w:rPr>
                <w:i/>
                <w:color w:val="333333"/>
                <w:sz w:val="24"/>
                <w:szCs w:val="24"/>
              </w:rPr>
              <w:t>Prawo transportu lądowego</w:t>
            </w:r>
            <w:r w:rsidRPr="005763D3">
              <w:rPr>
                <w:color w:val="333333"/>
                <w:sz w:val="24"/>
                <w:szCs w:val="24"/>
              </w:rPr>
              <w:t>, Warszawa 2005</w:t>
            </w:r>
          </w:p>
        </w:tc>
      </w:tr>
      <w:tr w:rsidR="000026D5" w:rsidRPr="00E6446C" w:rsidTr="005406F0">
        <w:tc>
          <w:tcPr>
            <w:tcW w:w="244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5763D3" w:rsidRPr="005763D3" w:rsidRDefault="005763D3" w:rsidP="00682371">
            <w:pPr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r w:rsidRPr="005763D3">
              <w:rPr>
                <w:color w:val="333333"/>
                <w:sz w:val="24"/>
                <w:szCs w:val="24"/>
              </w:rPr>
              <w:t xml:space="preserve">Górski Władysław, Wesołowski Krzysztof: </w:t>
            </w:r>
            <w:r w:rsidRPr="005763D3">
              <w:rPr>
                <w:i/>
                <w:color w:val="333333"/>
                <w:sz w:val="24"/>
                <w:szCs w:val="24"/>
              </w:rPr>
              <w:t>Komentarz do przepisów o umowie przewozu i spedycji. Kodeks cywilny – Prawo przewozowe – CMR</w:t>
            </w:r>
            <w:r w:rsidRPr="005763D3">
              <w:rPr>
                <w:color w:val="333333"/>
                <w:sz w:val="24"/>
                <w:szCs w:val="24"/>
              </w:rPr>
              <w:t>, 2. Wydanie, Gdańsk 2009</w:t>
            </w:r>
          </w:p>
          <w:p w:rsidR="005763D3" w:rsidRPr="005763D3" w:rsidRDefault="005763D3" w:rsidP="00682371">
            <w:pPr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proofErr w:type="spellStart"/>
            <w:r w:rsidRPr="005763D3">
              <w:rPr>
                <w:color w:val="333333"/>
                <w:sz w:val="24"/>
                <w:szCs w:val="24"/>
              </w:rPr>
              <w:t>Szanciło</w:t>
            </w:r>
            <w:proofErr w:type="spellEnd"/>
            <w:r w:rsidRPr="005763D3">
              <w:rPr>
                <w:color w:val="333333"/>
                <w:sz w:val="24"/>
                <w:szCs w:val="24"/>
              </w:rPr>
              <w:t xml:space="preserve"> Tomasz: </w:t>
            </w:r>
            <w:r w:rsidRPr="005763D3">
              <w:rPr>
                <w:i/>
                <w:color w:val="333333"/>
                <w:sz w:val="24"/>
                <w:szCs w:val="24"/>
              </w:rPr>
              <w:t>Prawo przewozowe. Komentarz</w:t>
            </w:r>
            <w:r w:rsidRPr="005763D3">
              <w:rPr>
                <w:color w:val="333333"/>
                <w:sz w:val="24"/>
                <w:szCs w:val="24"/>
              </w:rPr>
              <w:t>, Warszawa 2008</w:t>
            </w:r>
          </w:p>
          <w:p w:rsidR="000026D5" w:rsidRPr="00682371" w:rsidRDefault="005763D3" w:rsidP="00682371">
            <w:pPr>
              <w:jc w:val="both"/>
              <w:textAlignment w:val="baseline"/>
              <w:rPr>
                <w:color w:val="333333"/>
                <w:sz w:val="24"/>
                <w:szCs w:val="24"/>
              </w:rPr>
            </w:pPr>
            <w:r w:rsidRPr="005763D3">
              <w:rPr>
                <w:color w:val="333333"/>
                <w:sz w:val="24"/>
                <w:szCs w:val="24"/>
                <w:shd w:val="clear" w:color="auto" w:fill="FFFFFF"/>
              </w:rPr>
              <w:t>Walczak Robert: Międzynarodowy przewóz drogowy towarów, Warszawa 200</w:t>
            </w:r>
            <w:r w:rsidR="00682371">
              <w:rPr>
                <w:color w:val="333333"/>
                <w:sz w:val="24"/>
                <w:szCs w:val="24"/>
              </w:rPr>
              <w:t>0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E6446C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5763D3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podające (wykład, wykład problemowy, wykład z prezentacją multimedialną)</w:t>
            </w:r>
          </w:p>
        </w:tc>
      </w:tr>
      <w:tr w:rsidR="000026D5" w:rsidRPr="00E6446C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 efektu kształcenia</w:t>
            </w:r>
          </w:p>
        </w:tc>
      </w:tr>
      <w:tr w:rsidR="000026D5" w:rsidRPr="00E6446C" w:rsidTr="00682371">
        <w:trPr>
          <w:trHeight w:val="309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0026D5" w:rsidRPr="00E6446C" w:rsidRDefault="001076E1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pisemne</w:t>
            </w:r>
            <w:r w:rsidR="005763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0026D5" w:rsidRPr="00E6446C" w:rsidRDefault="005763D3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</w:t>
            </w:r>
          </w:p>
        </w:tc>
      </w:tr>
      <w:tr w:rsidR="000026D5" w:rsidRPr="00E6446C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1076E1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  <w:r w:rsidR="001076E1">
              <w:rPr>
                <w:sz w:val="24"/>
                <w:szCs w:val="24"/>
              </w:rPr>
              <w:t>Zaliczenie pisemne</w:t>
            </w:r>
            <w:r w:rsidR="005763D3">
              <w:rPr>
                <w:sz w:val="24"/>
                <w:szCs w:val="24"/>
              </w:rPr>
              <w:t xml:space="preserve"> obejmujący udzielenie odpowiedzi na 3 lub 4 pytania problemowe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E6446C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NAKŁAD PRACY STUDENTA</w:t>
            </w:r>
          </w:p>
          <w:p w:rsidR="000026D5" w:rsidRPr="00E6446C" w:rsidRDefault="000026D5" w:rsidP="005406F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color w:val="FF0000"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Liczba godzin  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0026D5" w:rsidRPr="00E6446C" w:rsidRDefault="005763D3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0026D5" w:rsidRPr="00E6446C" w:rsidRDefault="005763D3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projektu / eseju / itp.</w:t>
            </w:r>
            <w:r w:rsidRPr="00E6446C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0026D5" w:rsidRPr="00E6446C" w:rsidRDefault="00682371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3D3">
              <w:rPr>
                <w:sz w:val="24"/>
                <w:szCs w:val="24"/>
              </w:rPr>
              <w:t>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0026D5" w:rsidRPr="00682371" w:rsidRDefault="00682371" w:rsidP="005406F0">
            <w:pPr>
              <w:jc w:val="center"/>
              <w:rPr>
                <w:sz w:val="24"/>
                <w:szCs w:val="24"/>
              </w:rPr>
            </w:pPr>
            <w:r w:rsidRPr="00682371">
              <w:rPr>
                <w:sz w:val="24"/>
                <w:szCs w:val="24"/>
              </w:rPr>
              <w:t>1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0026D5" w:rsidRPr="00E6446C" w:rsidRDefault="00682371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026D5" w:rsidRPr="00E6446C" w:rsidTr="005406F0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5763D3" w:rsidP="005763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6D5" w:rsidRPr="00E6446C" w:rsidTr="00682371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Liczba p. ECTS związana z zajęciami praktycznymi</w:t>
            </w:r>
            <w:r w:rsidRPr="00E6446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0026D5" w:rsidRPr="00E6446C" w:rsidRDefault="00682371" w:rsidP="00682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026D5" w:rsidRPr="00E6446C" w:rsidTr="00682371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0026D5" w:rsidRPr="008E4BC2" w:rsidRDefault="00682371" w:rsidP="00682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</w:tbl>
    <w:p w:rsidR="002370F3" w:rsidRDefault="002370F3"/>
    <w:sectPr w:rsidR="002370F3" w:rsidSect="002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eeSeri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852"/>
    <w:multiLevelType w:val="multilevel"/>
    <w:tmpl w:val="8A50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90158"/>
    <w:multiLevelType w:val="multilevel"/>
    <w:tmpl w:val="7F9C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F5A66"/>
    <w:multiLevelType w:val="multilevel"/>
    <w:tmpl w:val="A7E6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0026D5"/>
    <w:rsid w:val="000026D5"/>
    <w:rsid w:val="0008494A"/>
    <w:rsid w:val="001076E1"/>
    <w:rsid w:val="001525F6"/>
    <w:rsid w:val="001969AB"/>
    <w:rsid w:val="001C5AA1"/>
    <w:rsid w:val="002370F3"/>
    <w:rsid w:val="00410868"/>
    <w:rsid w:val="005763D3"/>
    <w:rsid w:val="005B3FEB"/>
    <w:rsid w:val="005E494C"/>
    <w:rsid w:val="00677641"/>
    <w:rsid w:val="00682371"/>
    <w:rsid w:val="007442AE"/>
    <w:rsid w:val="00964109"/>
    <w:rsid w:val="00C22B28"/>
    <w:rsid w:val="00C848AC"/>
    <w:rsid w:val="00CD2194"/>
    <w:rsid w:val="00D56B9F"/>
    <w:rsid w:val="00F142CA"/>
    <w:rsid w:val="00FB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olszewska</dc:creator>
  <cp:lastModifiedBy>katarzyna olszewska</cp:lastModifiedBy>
  <cp:revision>2</cp:revision>
  <dcterms:created xsi:type="dcterms:W3CDTF">2014-05-07T11:47:00Z</dcterms:created>
  <dcterms:modified xsi:type="dcterms:W3CDTF">2014-05-07T11:47:00Z</dcterms:modified>
</cp:coreProperties>
</file>